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E1B36"/>
          <w:sz w:val="40"/>
        </w:rPr>
        <w:t>Arrêt machine et reprise de l'encaisseuse CERMEX E724</w:t>
      </w:r>
    </w:p>
    <w:p>
      <w:r>
        <w:rPr>
          <w:i/>
          <w:color w:val="555F70"/>
          <w:sz w:val="22"/>
        </w:rPr>
        <w:t>Les trois niveaux d'arrêt de l'encaisseuse E724, l'énergie qui reste présente après la coupure, et la marche à suivre pour reprendre après un arrêt, accident corporel compris.</w:t>
      </w:r>
    </w:p>
    <w:p>
      <w:r>
        <w:rPr>
          <w:b/>
          <w:color w:val="0E1B36"/>
          <w:sz w:val="26"/>
        </w:rPr>
        <w:t>À qui s'adresse cette procédure</w:t>
      </w:r>
    </w:p>
    <w:p>
      <w:r>
        <w:rPr>
          <w:b w:val="0"/>
          <w:sz w:val="22"/>
        </w:rPr>
        <w:t>Deux choses différentes sont réunies ici, parce qu'elles vont ensemble sur le terrain : comment arrêter la machine selon la situation, et quoi faire après un arrêt pour reprendre sans se tromper d'étape.</w:t>
      </w:r>
    </w:p>
    <w:p>
      <w:r>
        <w:rPr>
          <w:b w:val="0"/>
          <w:sz w:val="22"/>
        </w:rPr>
        <w:t>Elle s'adresse à l'opérateur ou au conducteur de ligne. Le tri entre ce qu'il répare lui-même et ce qui part au service technique fait partie de la procédure du constructeur.</w:t>
      </w:r>
    </w:p>
    <w:p>
      <w:r>
        <w:rPr>
          <w:b/>
          <w:color w:val="0E1B36"/>
          <w:sz w:val="26"/>
        </w:rPr>
        <w:t>Les trois niveaux d'arrêt</w:t>
      </w:r>
    </w:p>
    <w:p>
      <w:r>
        <w:rPr>
          <w:b w:val="0"/>
          <w:sz w:val="22"/>
        </w:rPr>
        <w:t>Le constructeur distingue nettement les niveaux. Les confondre, c'est soit perdre du temps, soit prendre un risque.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  <w:sz w:val="20"/>
              </w:rPr>
              <w:t>Niveau</w:t>
            </w:r>
          </w:p>
        </w:tc>
        <w:tc>
          <w:tcPr>
            <w:tcW w:type="dxa" w:w="3324"/>
          </w:tcPr>
          <w:p>
            <w:r>
              <w:rPr>
                <w:b/>
                <w:sz w:val="20"/>
              </w:rPr>
              <w:t>Ce que ça coupe</w:t>
            </w:r>
          </w:p>
        </w:tc>
        <w:tc>
          <w:tcPr>
            <w:tcW w:type="dxa" w:w="3324"/>
          </w:tcPr>
          <w:p>
            <w:r>
              <w:rPr>
                <w:b/>
                <w:sz w:val="20"/>
              </w:rPr>
              <w:t>Quand l'utiliser</w:t>
            </w:r>
          </w:p>
        </w:tc>
      </w:tr>
      <w:tr>
        <w:tc>
          <w:tcPr>
            <w:tcW w:type="dxa" w:w="3324"/>
          </w:tcPr>
          <w:p>
            <w:r/>
            <w:r>
              <w:rPr>
                <w:sz w:val="20"/>
              </w:rPr>
              <w:t>Arrêt (bouton noir « arrêt »)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Seul le cycle est arrêté, dans une position prédéterminée. Les énergies restent présentes. L'afficheur passe à « 4 » (arrêt cycle).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Arrêt normal de production, fin de poste, avant une prise d'origine machine. On repart avec « marche ».</w:t>
            </w:r>
          </w:p>
        </w:tc>
      </w:tr>
      <w:tr>
        <w:tc>
          <w:tcPr>
            <w:tcW w:type="dxa" w:w="3324"/>
          </w:tcPr>
          <w:p>
            <w:r/>
            <w:r>
              <w:rPr>
                <w:sz w:val="20"/>
              </w:rPr>
              <w:t>Arrêt d'urgence (coup de poing rouge à accrochage)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Coupure des énergies électrique et pneumatique. L'afficheur passe à « 3 ».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En cas de problème dans la machine, ou après l'arrêt complet du cycle. Pour repartir : déverrouiller le bouton, puis « réarmement ».</w:t>
            </w:r>
          </w:p>
        </w:tc>
      </w:tr>
      <w:tr>
        <w:tc>
          <w:tcPr>
            <w:tcW w:type="dxa" w:w="3324"/>
          </w:tcPr>
          <w:p>
            <w:r/>
            <w:r>
              <w:rPr>
                <w:sz w:val="20"/>
              </w:rPr>
              <w:t>Consignation (interrupteur-sectionneur électrique)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Coupure et verrouillage de l'alimentation électrique.</w:t>
            </w:r>
          </w:p>
        </w:tc>
        <w:tc>
          <w:tcPr>
            <w:tcW w:type="dxa" w:w="3324"/>
          </w:tcPr>
          <w:p>
            <w:r/>
            <w:r>
              <w:rPr>
                <w:sz w:val="20"/>
              </w:rPr>
              <w:t>Impérativement pour toute intervention d'entretien ou de maintenance. Dès qu'on ouvre un carter ou qu'on met les mains dans la machine.</w:t>
            </w:r>
          </w:p>
        </w:tc>
      </w:tr>
    </w:tbl>
    <w:p>
      <w:r>
        <w:rPr>
          <w:b/>
          <w:color w:val="0E1B36"/>
          <w:sz w:val="26"/>
        </w:rPr>
        <w:t>Ce qui reste dangereux après l'arrêt</w:t>
      </w:r>
    </w:p>
    <w:p>
      <w:r>
        <w:rPr>
          <w:b w:val="0"/>
          <w:sz w:val="22"/>
        </w:rPr>
        <w:t>Un arrêt, même général, ne veut pas dire machine inerte. Deux points que la documentation signale explicitement.</w:t>
      </w:r>
    </w:p>
    <w:p>
      <w:pPr>
        <w:pStyle w:val="ListBullet"/>
      </w:pPr>
      <w:r>
        <w:rPr>
          <w:b/>
          <w:sz w:val="22"/>
        </w:rPr>
        <w:t xml:space="preserve">De l'air reste emprisonné </w:t>
      </w:r>
      <w:r>
        <w:rPr>
          <w:b w:val="0"/>
          <w:sz w:val="22"/>
        </w:rPr>
        <w:t>dans les vérins équipés de bloqueurs après l'arrêt général. Avant toute intervention, il faut purger en actionnant le bouton de déblocage ou en déconnectant les tuyaux d'alimentation.</w:t>
      </w:r>
    </w:p>
    <w:p>
      <w:pPr>
        <w:pStyle w:val="ListBullet"/>
      </w:pPr>
      <w:r>
        <w:rPr>
          <w:b/>
          <w:sz w:val="22"/>
        </w:rPr>
        <w:t xml:space="preserve">Tous les circuits ne sont pas forcément coupés par le sectionneur. </w:t>
      </w:r>
      <w:r>
        <w:rPr>
          <w:b w:val="0"/>
          <w:sz w:val="22"/>
        </w:rPr>
        <w:t>La documentation prévient que certains circuits peuvent rester alimentés malgré le dispositif de sectionnement. Ne pas présumer que couper le sectionneur met tout hors tension : seules les personnes habilitées accèdent à l'intérieur des enveloppes.</w:t>
      </w:r>
    </w:p>
    <w:p>
      <w:r>
        <w:rPr>
          <w:b/>
          <w:color w:val="0E1B36"/>
          <w:sz w:val="26"/>
        </w:rPr>
        <w:t>Marche à suivre après un arrêt machine</w:t>
      </w:r>
    </w:p>
    <w:p>
      <w:r>
        <w:rPr>
          <w:b w:val="0"/>
          <w:sz w:val="22"/>
        </w:rPr>
        <w:t>C'est le logigramme du constructeur, déroulé. La première question à trancher n'est pas technique, elle est humaine.</w:t>
      </w:r>
    </w:p>
    <w:p>
      <w:pPr>
        <w:ind w:left="454" w:hanging="454"/>
      </w:pPr>
      <w:r>
        <w:rPr>
          <w:sz w:val="22"/>
        </w:rPr>
        <w:t xml:space="preserve">1. </w:t>
      </w:r>
      <w:r>
        <w:rPr>
          <w:b/>
          <w:sz w:val="22"/>
        </w:rPr>
        <w:t>Identifier la cause de l'arrêt.</w:t>
      </w:r>
    </w:p>
    <w:p>
      <w:pPr>
        <w:ind w:left="454" w:hanging="454"/>
      </w:pPr>
      <w:r>
        <w:rPr>
          <w:sz w:val="22"/>
        </w:rPr>
        <w:t xml:space="preserve">2. </w:t>
      </w:r>
      <w:r>
        <w:rPr>
          <w:b/>
          <w:sz w:val="22"/>
        </w:rPr>
        <w:t xml:space="preserve">Si l'arrêt vient d'un arrêt d'urgence, </w:t>
      </w:r>
      <w:r>
        <w:rPr>
          <w:b w:val="0"/>
          <w:sz w:val="22"/>
        </w:rPr>
        <w:t xml:space="preserve">identifier ce qui l'a déclenché, puis répondre à une seule question : </w:t>
      </w:r>
      <w:r>
        <w:rPr>
          <w:b/>
          <w:sz w:val="22"/>
        </w:rPr>
        <w:t>la cause est-elle humaine ?</w:t>
      </w:r>
    </w:p>
    <w:p>
      <w:pPr>
        <w:ind w:left="907" w:hanging="283"/>
      </w:pPr>
      <w:r>
        <w:rPr>
          <w:sz w:val="22"/>
        </w:rPr>
        <w:t xml:space="preserve">- </w:t>
      </w:r>
      <w:r>
        <w:rPr>
          <w:b/>
          <w:sz w:val="22"/>
        </w:rPr>
        <w:t xml:space="preserve">Oui, accident corporel : </w:t>
      </w:r>
      <w:r>
        <w:rPr>
          <w:b w:val="0"/>
          <w:sz w:val="22"/>
        </w:rPr>
        <w:t>appeler le secouriste, prévenir la hiérarchie, attendre l'évacuation. La remise en marche vient après, jamais avant.</w:t>
      </w:r>
    </w:p>
    <w:p>
      <w:pPr>
        <w:ind w:left="907" w:hanging="283"/>
      </w:pPr>
      <w:r>
        <w:rPr>
          <w:sz w:val="22"/>
        </w:rPr>
        <w:t xml:space="preserve">- </w:t>
      </w:r>
      <w:r>
        <w:rPr>
          <w:b/>
          <w:sz w:val="22"/>
        </w:rPr>
        <w:t xml:space="preserve">Non, panne matérielle : </w:t>
      </w:r>
      <w:r>
        <w:rPr>
          <w:b w:val="0"/>
          <w:sz w:val="22"/>
        </w:rPr>
        <w:t>identifier la panne, puis passer au point suivant.</w:t>
      </w:r>
    </w:p>
    <w:p>
      <w:pPr>
        <w:ind w:left="454" w:hanging="454"/>
      </w:pPr>
      <w:r>
        <w:rPr>
          <w:sz w:val="22"/>
        </w:rPr>
        <w:t xml:space="preserve">3. </w:t>
      </w:r>
      <w:r>
        <w:rPr>
          <w:b/>
          <w:sz w:val="22"/>
        </w:rPr>
        <w:t>Un défaut est-il affiché au pupitre ?</w:t>
      </w:r>
    </w:p>
    <w:p>
      <w:pPr>
        <w:ind w:left="907" w:hanging="283"/>
      </w:pPr>
      <w:r>
        <w:rPr>
          <w:sz w:val="22"/>
        </w:rPr>
        <w:t xml:space="preserve">- </w:t>
      </w:r>
      <w:r>
        <w:rPr>
          <w:b/>
          <w:sz w:val="22"/>
        </w:rPr>
        <w:t xml:space="preserve">Oui : </w:t>
      </w:r>
      <w:r>
        <w:rPr>
          <w:b w:val="0"/>
          <w:sz w:val="22"/>
        </w:rPr>
        <w:t>suivre les instructions correspondant au code affiché (voir le tableau des défauts de la procédure de mise en route). C'est terminé.</w:t>
      </w:r>
    </w:p>
    <w:p>
      <w:pPr>
        <w:ind w:left="907" w:hanging="283"/>
      </w:pPr>
      <w:r>
        <w:rPr>
          <w:sz w:val="22"/>
        </w:rPr>
        <w:t xml:space="preserve">- </w:t>
      </w:r>
      <w:r>
        <w:rPr>
          <w:b/>
          <w:sz w:val="22"/>
        </w:rPr>
        <w:t xml:space="preserve">Non : </w:t>
      </w:r>
      <w:r>
        <w:rPr>
          <w:b w:val="0"/>
          <w:sz w:val="22"/>
        </w:rPr>
        <w:t>répondre à la question suivante.</w:t>
      </w:r>
    </w:p>
    <w:p>
      <w:pPr>
        <w:ind w:left="454" w:hanging="454"/>
      </w:pPr>
      <w:r>
        <w:rPr>
          <w:sz w:val="22"/>
        </w:rPr>
        <w:t xml:space="preserve">4. </w:t>
      </w:r>
      <w:r>
        <w:rPr>
          <w:b/>
          <w:sz w:val="22"/>
        </w:rPr>
        <w:t>La panne est-elle réparable par l'opérateur ?</w:t>
      </w:r>
    </w:p>
    <w:p>
      <w:pPr>
        <w:ind w:left="907" w:hanging="283"/>
      </w:pPr>
      <w:r>
        <w:rPr>
          <w:sz w:val="22"/>
        </w:rPr>
        <w:t xml:space="preserve">- </w:t>
      </w:r>
      <w:r>
        <w:rPr>
          <w:b/>
          <w:sz w:val="22"/>
        </w:rPr>
        <w:t xml:space="preserve">Oui : </w:t>
      </w:r>
      <w:r>
        <w:rPr>
          <w:b w:val="0"/>
          <w:sz w:val="22"/>
        </w:rPr>
        <w:t>éliminer le défaut, puis remettre en marche.</w:t>
      </w:r>
    </w:p>
    <w:p>
      <w:pPr>
        <w:ind w:left="907" w:hanging="283"/>
      </w:pPr>
      <w:r>
        <w:rPr>
          <w:sz w:val="22"/>
        </w:rPr>
        <w:t xml:space="preserve">- </w:t>
      </w:r>
      <w:r>
        <w:rPr>
          <w:b/>
          <w:sz w:val="22"/>
        </w:rPr>
        <w:t xml:space="preserve">Non : </w:t>
      </w:r>
      <w:r>
        <w:rPr>
          <w:b w:val="0"/>
          <w:sz w:val="22"/>
        </w:rPr>
        <w:t>prévenir la hiérarchie, appeler le service technique, attendre la réparation, puis remettre en marche.</w:t>
      </w:r>
    </w:p>
    <w:p>
      <w:r>
        <w:rPr>
          <w:b/>
          <w:color w:val="0E1B36"/>
          <w:sz w:val="26"/>
        </w:rPr>
        <w:t>Pour reprendre la production</w:t>
      </w:r>
    </w:p>
    <w:p>
      <w:r>
        <w:rPr>
          <w:b w:val="0"/>
          <w:sz w:val="22"/>
        </w:rPr>
        <w:t>Après un arrêt d'urgence, la remise en service passe par le déverrouillage des coups de poing puis le bouton « réarmement ». La séquence complète est dans la procédure de mise en route.</w:t>
      </w:r>
    </w:p>
    <w:p>
      <w:r>
        <w:rPr>
          <w:b w:val="0"/>
          <w:sz w:val="22"/>
        </w:rPr>
        <w:t xml:space="preserve">Rappel qui prime sur le reste : </w:t>
      </w:r>
      <w:r>
        <w:rPr>
          <w:b/>
          <w:sz w:val="22"/>
        </w:rPr>
        <w:t>il est formellement interdit de faire fonctionner une machine dont les organes de sécurité sont défaillants.</w:t>
      </w:r>
      <w:r>
        <w:rPr>
          <w:b w:val="0"/>
          <w:sz w:val="22"/>
        </w:rPr>
        <w:t xml:space="preserve"> Toute défaillance doit être immédiatement résolue, pas reportée à la fin du poste.</w:t>
      </w:r>
    </w:p>
    <w:p>
      <w:r>
        <w:rPr>
          <w:b/>
          <w:color w:val="0E1B36"/>
          <w:sz w:val="26"/>
        </w:rPr>
        <w:t>Sources et limites</w:t>
      </w:r>
    </w:p>
    <w:p>
      <w:pPr>
        <w:pStyle w:val="ListBullet"/>
      </w:pPr>
      <w:r>
        <w:rPr>
          <w:b/>
          <w:sz w:val="22"/>
        </w:rPr>
        <w:t xml:space="preserve">Source : </w:t>
      </w:r>
      <w:r>
        <w:rPr>
          <w:b w:val="0"/>
          <w:sz w:val="22"/>
        </w:rPr>
        <w:t>Manuel opérateur E724, chapitre « Mise en service », sections « Dispositif d'arrêt » et « Marche à suivre après un arrêt machine », documentation CERMEX datée du 19/09/2007. Les niveaux d'arrêt et l'arbre de décision en sont transcrits fidèlement.</w:t>
      </w:r>
    </w:p>
    <w:p>
      <w:pPr>
        <w:pStyle w:val="ListBullet"/>
      </w:pPr>
      <w:r>
        <w:rPr>
          <w:b/>
          <w:sz w:val="22"/>
        </w:rPr>
        <w:t xml:space="preserve">L'organisation interne </w:t>
      </w:r>
      <w:r>
        <w:rPr>
          <w:b w:val="0"/>
          <w:sz w:val="22"/>
        </w:rPr>
        <w:t>(qui est le secouriste, qui prévient qui, qui appelle le service technique) est propre à chaque site. Le constructeur donne l'ordre des étapes, pas les noms : à confronter aux consignes de votre atelier.</w:t>
      </w:r>
    </w:p>
    <w:p>
      <w:pPr>
        <w:pStyle w:val="ListBullet"/>
      </w:pPr>
      <w:r>
        <w:rPr>
          <w:b/>
          <w:sz w:val="22"/>
        </w:rPr>
        <w:t xml:space="preserve">Une précision sur l'avertissement électrique. </w:t>
      </w:r>
      <w:r>
        <w:rPr>
          <w:b w:val="0"/>
          <w:sz w:val="22"/>
        </w:rPr>
        <w:t>La documentation CERMEX cite les générateurs de colle comme exemple de circuits restant sous tension après coupure du sectionneur. C'est un avertissement standard de leurs documentations : la E724 n'a pas de groupe d'encollage, la caisse carton étant préformée par l'opérateur. L'exemple ne s'applique donc pas à cette machine, mais le principe reste entier, tous les circuits ne sont pas nécessairement coupés par le sectionnement.</w:t>
      </w:r>
    </w:p>
    <w:p>
      <w:r>
        <w:rPr>
          <w:i/>
          <w:color w:val="555F70"/>
          <w:sz w:val="18"/>
        </w:rPr>
        <w:t>Fiche établie par Simon Girard - Mecanio (mecanio.fr). Modèle à adapter aux consignes de votre propre atelier avant impression.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