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E1B36"/>
          <w:sz w:val="40"/>
        </w:rPr>
        <w:t>Mise en service de l'encaisseuse CERMEX E724</w:t>
      </w:r>
    </w:p>
    <w:p>
      <w:r>
        <w:rPr>
          <w:i/>
          <w:color w:val="555F70"/>
          <w:sz w:val="22"/>
        </w:rPr>
        <w:t>La séquence pour démarrer l'encaisseuse semi-automatique E724 en sécurité, du sectionneur au premier cycle, puis le déroulé du cycle de production tel que la documentation constructeur le décrit.</w:t>
      </w:r>
    </w:p>
    <w:p>
      <w:r>
        <w:rPr>
          <w:b/>
          <w:color w:val="0E1B36"/>
          <w:sz w:val="26"/>
        </w:rPr>
        <w:t>À qui s'adresse cette procédure</w:t>
      </w:r>
    </w:p>
    <w:p>
      <w:r>
        <w:rPr>
          <w:b w:val="0"/>
          <w:sz w:val="22"/>
        </w:rPr>
        <w:t>C'est la procédure de conduite de la machine, pas une intervention de maintenance. Elle sert à démarrer l'encaisseuse en sécurité en début de poste, et à savoir ce que la machine doit faire une fois lancée. Elle correspond au niveau opérateur ou conducteur de ligne.</w:t>
      </w:r>
    </w:p>
    <w:p>
      <w:r>
        <w:rPr>
          <w:b w:val="0"/>
          <w:sz w:val="22"/>
        </w:rPr>
        <w:t xml:space="preserve">L'E724 est une </w:t>
      </w:r>
      <w:r>
        <w:rPr>
          <w:b/>
          <w:sz w:val="22"/>
        </w:rPr>
        <w:t>encaisseuse semi-automatique</w:t>
      </w:r>
      <w:r>
        <w:rPr>
          <w:b w:val="0"/>
          <w:sz w:val="22"/>
        </w:rPr>
        <w:t xml:space="preserve"> : elle prépare le carton et met les produits en pile, mais c'est l'opérateur qui valide l'encaissage. Ce point conditionne tout le cycle décrit plus bas.</w:t>
      </w:r>
    </w:p>
    <w:p>
      <w:r>
        <w:rPr>
          <w:b/>
          <w:color w:val="0E1B36"/>
          <w:sz w:val="26"/>
        </w:rPr>
        <w:t>Avant de toucher au pupitre : la sécurité</w:t>
      </w:r>
    </w:p>
    <w:p>
      <w:r>
        <w:rPr>
          <w:b w:val="0"/>
          <w:sz w:val="22"/>
        </w:rPr>
        <w:t>Ces règles sont écrites telles quelles dans la documentation constructeur. Aucune ne se contourne.</w:t>
      </w:r>
    </w:p>
    <w:p>
      <w:pPr>
        <w:pStyle w:val="ListBullet"/>
      </w:pPr>
      <w:r>
        <w:rPr>
          <w:b/>
          <w:sz w:val="22"/>
        </w:rPr>
        <w:t xml:space="preserve">La pression des actionneurs est limitée à 2 bars, et ce réglage est verrouillé et plombé. </w:t>
      </w:r>
      <w:r>
        <w:rPr>
          <w:b w:val="0"/>
          <w:sz w:val="22"/>
        </w:rPr>
        <w:t>Toute augmentation au-delà de 2 bars remet en cause la conformité CE de la machine. On ne touche pas au plombage.</w:t>
      </w:r>
    </w:p>
    <w:p>
      <w:pPr>
        <w:pStyle w:val="ListBullet"/>
      </w:pPr>
      <w:r>
        <w:rPr>
          <w:b/>
          <w:sz w:val="22"/>
        </w:rPr>
        <w:t xml:space="preserve">Test des organes de sécurité à chaque prise de poste : </w:t>
      </w:r>
      <w:r>
        <w:rPr>
          <w:b w:val="0"/>
          <w:sz w:val="22"/>
        </w:rPr>
        <w:t>chaque porte ouverte doit interdire le réarmement de la machine. Si ce n'est pas le cas, provoquer immédiatement l'arrêt d'urgence et prévenir le service maintenance. Une machine dont les sécurités sont défaillantes ne démarre pas.</w:t>
      </w:r>
    </w:p>
    <w:p>
      <w:pPr>
        <w:pStyle w:val="ListBullet"/>
      </w:pPr>
      <w:r>
        <w:rPr>
          <w:b/>
          <w:sz w:val="22"/>
        </w:rPr>
        <w:t xml:space="preserve">Énergie pneumatique résiduelle : </w:t>
      </w:r>
      <w:r>
        <w:rPr>
          <w:b w:val="0"/>
          <w:sz w:val="22"/>
        </w:rPr>
        <w:t>même après un arrêt général, de l'air reste emprisonné dans les vérins équipés de bloqueurs. Avant toute intervention, purger en actionnant le bouton de déblocage ou en déconnectant les tuyaux d'alimentation.</w:t>
      </w:r>
    </w:p>
    <w:p>
      <w:pPr>
        <w:pStyle w:val="ListBullet"/>
      </w:pPr>
      <w:r>
        <w:rPr>
          <w:b/>
          <w:sz w:val="22"/>
        </w:rPr>
        <w:t xml:space="preserve">Danger électrique : </w:t>
      </w:r>
      <w:r>
        <w:rPr>
          <w:b w:val="0"/>
          <w:sz w:val="22"/>
        </w:rPr>
        <w:t>certains circuits peuvent ne pas être coupés par le dispositif de sectionnement de l'alimentation. Ne pas présumer que couper le sectionneur met tout hors tension. Seules les personnes habilitées accèdent à l'intérieur des enveloppes.</w:t>
      </w:r>
    </w:p>
    <w:p>
      <w:pPr>
        <w:pStyle w:val="ListBullet"/>
      </w:pPr>
      <w:r>
        <w:rPr>
          <w:b/>
          <w:sz w:val="22"/>
        </w:rPr>
        <w:t xml:space="preserve">Pour toute intervention d'entretien, l'interrupteur sectionneur doit être verrouillé. </w:t>
      </w:r>
      <w:r>
        <w:rPr>
          <w:b w:val="0"/>
          <w:sz w:val="22"/>
        </w:rPr>
        <w:t>Si le geste demande d'ouvrir un carter ou de mettre les mains dans la machine, ce n'est plus de la conduite.</w:t>
      </w:r>
    </w:p>
    <w:p>
      <w:r>
        <w:rPr>
          <w:b/>
          <w:color w:val="0E1B36"/>
          <w:sz w:val="26"/>
        </w:rPr>
        <w:t>Le pupitre en bref</w:t>
      </w:r>
    </w:p>
    <w:p>
      <w:r>
        <w:rPr>
          <w:b w:val="0"/>
          <w:sz w:val="22"/>
        </w:rPr>
        <w:t>Les commandes utiles au démarrage, telles que la documentation les nomme.</w:t>
      </w:r>
    </w:p>
    <w:tbl>
      <w:tblPr>
        <w:tblStyle w:val="LightGrid-Accent1"/>
        <w:tblW w:type="auto" w:w="0"/>
        <w:tblLook w:firstColumn="1" w:firstRow="1" w:lastColumn="0" w:lastRow="0" w:noHBand="0" w:noVBand="1" w:val="04A0"/>
      </w:tblPr>
      <w:tblGrid>
        <w:gridCol w:w="3324"/>
        <w:gridCol w:w="3324"/>
        <w:gridCol w:w="3324"/>
      </w:tblGrid>
      <w:tr>
        <w:tc>
          <w:tcPr>
            <w:tcW w:type="dxa" w:w="3324"/>
          </w:tcPr>
          <w:p>
            <w:r>
              <w:rPr>
                <w:b/>
                <w:sz w:val="20"/>
              </w:rPr>
              <w:t>Commande</w:t>
            </w:r>
          </w:p>
        </w:tc>
        <w:tc>
          <w:tcPr>
            <w:tcW w:type="dxa" w:w="3324"/>
          </w:tcPr>
          <w:p>
            <w:r>
              <w:rPr>
                <w:b/>
                <w:sz w:val="20"/>
              </w:rPr>
              <w:t>Type</w:t>
            </w:r>
          </w:p>
        </w:tc>
        <w:tc>
          <w:tcPr>
            <w:tcW w:type="dxa" w:w="3324"/>
          </w:tcPr>
          <w:p>
            <w:r>
              <w:rPr>
                <w:b/>
                <w:sz w:val="20"/>
              </w:rPr>
              <w:t>Rôle</w:t>
            </w:r>
          </w:p>
        </w:tc>
      </w:tr>
      <w:tr>
        <w:tc>
          <w:tcPr>
            <w:tcW w:type="dxa" w:w="3324"/>
          </w:tcPr>
          <w:p>
            <w:r/>
            <w:r>
              <w:rPr>
                <w:sz w:val="20"/>
              </w:rPr>
              <w:t>Voyant sous tension</w:t>
            </w:r>
          </w:p>
        </w:tc>
        <w:tc>
          <w:tcPr>
            <w:tcW w:type="dxa" w:w="3324"/>
          </w:tcPr>
          <w:p>
            <w:r/>
            <w:r>
              <w:rPr>
                <w:sz w:val="20"/>
              </w:rPr>
              <w:t>Voyant blanc</w:t>
            </w:r>
          </w:p>
        </w:tc>
        <w:tc>
          <w:tcPr>
            <w:tcW w:type="dxa" w:w="3324"/>
          </w:tcPr>
          <w:p>
            <w:r/>
            <w:r>
              <w:rPr>
                <w:sz w:val="20"/>
              </w:rPr>
              <w:t>S'allume quand l'interrupteur principal est sur 1 : la machine est sous tension.</w:t>
            </w:r>
          </w:p>
        </w:tc>
      </w:tr>
      <w:tr>
        <w:tc>
          <w:tcPr>
            <w:tcW w:type="dxa" w:w="3324"/>
          </w:tcPr>
          <w:p>
            <w:r/>
            <w:r>
              <w:rPr>
                <w:sz w:val="20"/>
              </w:rPr>
              <w:t>Afficheur d'état</w:t>
            </w:r>
          </w:p>
        </w:tc>
        <w:tc>
          <w:tcPr>
            <w:tcW w:type="dxa" w:w="3324"/>
          </w:tcPr>
          <w:p>
            <w:r/>
            <w:r>
              <w:rPr>
                <w:sz w:val="20"/>
              </w:rPr>
              <w:t>Voyant hexadécimal rouge</w:t>
            </w:r>
          </w:p>
        </w:tc>
        <w:tc>
          <w:tcPr>
            <w:tcW w:type="dxa" w:w="3324"/>
          </w:tcPr>
          <w:p>
            <w:r/>
            <w:r>
              <w:rPr>
                <w:sz w:val="20"/>
              </w:rPr>
              <w:t>Affiche un chiffre ou une lettre correspondant à l'état ou au défaut de la machine.</w:t>
            </w:r>
          </w:p>
        </w:tc>
      </w:tr>
      <w:tr>
        <w:tc>
          <w:tcPr>
            <w:tcW w:type="dxa" w:w="3324"/>
          </w:tcPr>
          <w:p>
            <w:r/>
            <w:r>
              <w:rPr>
                <w:sz w:val="20"/>
              </w:rPr>
              <w:t>Réarmement</w:t>
            </w:r>
          </w:p>
        </w:tc>
        <w:tc>
          <w:tcPr>
            <w:tcW w:type="dxa" w:w="3324"/>
          </w:tcPr>
          <w:p>
            <w:r/>
            <w:r>
              <w:rPr>
                <w:sz w:val="20"/>
              </w:rPr>
              <w:t>Bouton bleu</w:t>
            </w:r>
          </w:p>
        </w:tc>
        <w:tc>
          <w:tcPr>
            <w:tcW w:type="dxa" w:w="3324"/>
          </w:tcPr>
          <w:p>
            <w:r/>
            <w:r>
              <w:rPr>
                <w:sz w:val="20"/>
              </w:rPr>
              <w:t>Après un arrêt d'urgence, met le circuit d'air en pression et réarme l'électrique.</w:t>
            </w:r>
          </w:p>
        </w:tc>
      </w:tr>
      <w:tr>
        <w:tc>
          <w:tcPr>
            <w:tcW w:type="dxa" w:w="3324"/>
          </w:tcPr>
          <w:p>
            <w:r/>
            <w:r>
              <w:rPr>
                <w:sz w:val="20"/>
              </w:rPr>
              <w:t>Marche</w:t>
            </w:r>
          </w:p>
        </w:tc>
        <w:tc>
          <w:tcPr>
            <w:tcW w:type="dxa" w:w="3324"/>
          </w:tcPr>
          <w:p>
            <w:r/>
            <w:r>
              <w:rPr>
                <w:sz w:val="20"/>
              </w:rPr>
              <w:t>Bouton noir</w:t>
            </w:r>
          </w:p>
        </w:tc>
        <w:tc>
          <w:tcPr>
            <w:tcW w:type="dxa" w:w="3324"/>
          </w:tcPr>
          <w:p>
            <w:r/>
            <w:r>
              <w:rPr>
                <w:sz w:val="20"/>
              </w:rPr>
              <w:t>Mise en service, la machine est prête à fonctionner en production.</w:t>
            </w:r>
          </w:p>
        </w:tc>
      </w:tr>
      <w:tr>
        <w:tc>
          <w:tcPr>
            <w:tcW w:type="dxa" w:w="3324"/>
          </w:tcPr>
          <w:p>
            <w:r/>
            <w:r>
              <w:rPr>
                <w:sz w:val="20"/>
              </w:rPr>
              <w:t>Arrêt</w:t>
            </w:r>
          </w:p>
        </w:tc>
        <w:tc>
          <w:tcPr>
            <w:tcW w:type="dxa" w:w="3324"/>
          </w:tcPr>
          <w:p>
            <w:r/>
            <w:r>
              <w:rPr>
                <w:sz w:val="20"/>
              </w:rPr>
              <w:t>Bouton noir</w:t>
            </w:r>
          </w:p>
        </w:tc>
        <w:tc>
          <w:tcPr>
            <w:tcW w:type="dxa" w:w="3324"/>
          </w:tcPr>
          <w:p>
            <w:r/>
            <w:r>
              <w:rPr>
                <w:sz w:val="20"/>
              </w:rPr>
              <w:t>Fin de cycle : la machine s'arrête dans une position prédéterminée.</w:t>
            </w:r>
          </w:p>
        </w:tc>
      </w:tr>
      <w:tr>
        <w:tc>
          <w:tcPr>
            <w:tcW w:type="dxa" w:w="3324"/>
          </w:tcPr>
          <w:p>
            <w:r/>
            <w:r>
              <w:rPr>
                <w:sz w:val="20"/>
              </w:rPr>
              <w:t>Arrêt d'urgence</w:t>
            </w:r>
          </w:p>
        </w:tc>
        <w:tc>
          <w:tcPr>
            <w:tcW w:type="dxa" w:w="3324"/>
          </w:tcPr>
          <w:p>
            <w:r/>
            <w:r>
              <w:rPr>
                <w:sz w:val="20"/>
              </w:rPr>
              <w:t>Coup de poing rouge à accrochage</w:t>
            </w:r>
          </w:p>
        </w:tc>
        <w:tc>
          <w:tcPr>
            <w:tcW w:type="dxa" w:w="3324"/>
          </w:tcPr>
          <w:p>
            <w:r/>
            <w:r>
              <w:rPr>
                <w:sz w:val="20"/>
              </w:rPr>
              <w:t>Arrêt instantané, coupure des énergies électrique et pneumatique.</w:t>
            </w:r>
          </w:p>
        </w:tc>
      </w:tr>
      <w:tr>
        <w:tc>
          <w:tcPr>
            <w:tcW w:type="dxa" w:w="3324"/>
          </w:tcPr>
          <w:p>
            <w:r/>
            <w:r>
              <w:rPr>
                <w:sz w:val="20"/>
              </w:rPr>
              <w:t>Acquittement défaut</w:t>
            </w:r>
          </w:p>
        </w:tc>
        <w:tc>
          <w:tcPr>
            <w:tcW w:type="dxa" w:w="3324"/>
          </w:tcPr>
          <w:p>
            <w:r/>
            <w:r>
              <w:rPr>
                <w:sz w:val="20"/>
              </w:rPr>
              <w:t>Bouton jaune</w:t>
            </w:r>
          </w:p>
        </w:tc>
        <w:tc>
          <w:tcPr>
            <w:tcW w:type="dxa" w:w="3324"/>
          </w:tcPr>
          <w:p>
            <w:r/>
            <w:r>
              <w:rPr>
                <w:sz w:val="20"/>
              </w:rPr>
              <w:t>Annule un défaut après correction.</w:t>
            </w:r>
          </w:p>
        </w:tc>
      </w:tr>
      <w:tr>
        <w:tc>
          <w:tcPr>
            <w:tcW w:type="dxa" w:w="3324"/>
          </w:tcPr>
          <w:p>
            <w:r/>
            <w:r>
              <w:rPr>
                <w:sz w:val="20"/>
              </w:rPr>
              <w:t>P.O.M. (prise d'origine machine)</w:t>
            </w:r>
          </w:p>
        </w:tc>
        <w:tc>
          <w:tcPr>
            <w:tcW w:type="dxa" w:w="3324"/>
          </w:tcPr>
          <w:p>
            <w:r/>
            <w:r>
              <w:rPr>
                <w:sz w:val="20"/>
              </w:rPr>
              <w:t>Bouton noir</w:t>
            </w:r>
          </w:p>
        </w:tc>
        <w:tc>
          <w:tcPr>
            <w:tcW w:type="dxa" w:w="3324"/>
          </w:tcPr>
          <w:p>
            <w:r/>
            <w:r>
              <w:rPr>
                <w:sz w:val="20"/>
              </w:rPr>
              <w:t>Remet la machine en position d'origine et initialise le cycle, après un changement de format ou un blocage.</w:t>
            </w:r>
          </w:p>
        </w:tc>
      </w:tr>
      <w:tr>
        <w:tc>
          <w:tcPr>
            <w:tcW w:type="dxa" w:w="3324"/>
          </w:tcPr>
          <w:p>
            <w:r/>
            <w:r>
              <w:rPr>
                <w:sz w:val="20"/>
              </w:rPr>
              <w:t>Validation encaissage</w:t>
            </w:r>
          </w:p>
        </w:tc>
        <w:tc>
          <w:tcPr>
            <w:tcW w:type="dxa" w:w="3324"/>
          </w:tcPr>
          <w:p>
            <w:r/>
            <w:r>
              <w:rPr>
                <w:sz w:val="20"/>
              </w:rPr>
              <w:t>Bouton noir</w:t>
            </w:r>
          </w:p>
        </w:tc>
        <w:tc>
          <w:tcPr>
            <w:tcW w:type="dxa" w:w="3324"/>
          </w:tcPr>
          <w:p>
            <w:r/>
            <w:r>
              <w:rPr>
                <w:sz w:val="20"/>
              </w:rPr>
              <w:t>Valide la poussée de la pile de produits dans le carton.</w:t>
            </w:r>
          </w:p>
        </w:tc>
      </w:tr>
      <w:tr>
        <w:tc>
          <w:tcPr>
            <w:tcW w:type="dxa" w:w="3324"/>
          </w:tcPr>
          <w:p>
            <w:r/>
            <w:r>
              <w:rPr>
                <w:sz w:val="20"/>
              </w:rPr>
              <w:t>Sélection format</w:t>
            </w:r>
          </w:p>
        </w:tc>
        <w:tc>
          <w:tcPr>
            <w:tcW w:type="dxa" w:w="3324"/>
          </w:tcPr>
          <w:p>
            <w:r/>
            <w:r>
              <w:rPr>
                <w:sz w:val="20"/>
              </w:rPr>
              <w:t>Roue codeuse</w:t>
            </w:r>
          </w:p>
        </w:tc>
        <w:tc>
          <w:tcPr>
            <w:tcW w:type="dxa" w:w="3324"/>
          </w:tcPr>
          <w:p>
            <w:r/>
            <w:r>
              <w:rPr>
                <w:sz w:val="20"/>
              </w:rPr>
              <w:t>Sélectionne le numéro de format à traiter.</w:t>
            </w:r>
          </w:p>
        </w:tc>
      </w:tr>
      <w:tr>
        <w:tc>
          <w:tcPr>
            <w:tcW w:type="dxa" w:w="3324"/>
          </w:tcPr>
          <w:p>
            <w:r/>
            <w:r>
              <w:rPr>
                <w:sz w:val="20"/>
              </w:rPr>
              <w:t>Déblocage empileur</w:t>
            </w:r>
          </w:p>
        </w:tc>
        <w:tc>
          <w:tcPr>
            <w:tcW w:type="dxa" w:w="3324"/>
          </w:tcPr>
          <w:p>
            <w:r/>
            <w:r>
              <w:rPr>
                <w:sz w:val="20"/>
              </w:rPr>
              <w:t>Bouton pneumatique noir</w:t>
            </w:r>
          </w:p>
        </w:tc>
        <w:tc>
          <w:tcPr>
            <w:tcW w:type="dxa" w:w="3324"/>
          </w:tcPr>
          <w:p>
            <w:r/>
            <w:r>
              <w:rPr>
                <w:sz w:val="20"/>
              </w:rPr>
              <w:t>Libère la pression résiduelle dans le vérin d'empileur pour bouger le plateau à la main.</w:t>
            </w:r>
          </w:p>
        </w:tc>
      </w:tr>
    </w:tbl>
    <w:p>
      <w:r>
        <w:rPr>
          <w:b/>
          <w:color w:val="0E1B36"/>
          <w:sz w:val="26"/>
        </w:rPr>
        <w:t>Séquence de mise en service</w:t>
      </w:r>
    </w:p>
    <w:p>
      <w:r>
        <w:rPr>
          <w:b w:val="0"/>
          <w:sz w:val="22"/>
        </w:rPr>
        <w:t>Cette séquence reprend le logigramme « Procédure de mise en service » de la documentation, dans l'ordre.</w:t>
      </w:r>
    </w:p>
    <w:p>
      <w:pPr>
        <w:ind w:left="454" w:hanging="454"/>
      </w:pPr>
      <w:r>
        <w:rPr>
          <w:sz w:val="22"/>
        </w:rPr>
        <w:t xml:space="preserve">1. </w:t>
      </w:r>
      <w:r>
        <w:rPr>
          <w:b/>
          <w:sz w:val="22"/>
        </w:rPr>
        <w:t xml:space="preserve">Mettre l'interrupteur principal sur 1. </w:t>
      </w:r>
      <w:r>
        <w:rPr>
          <w:b w:val="0"/>
          <w:sz w:val="22"/>
        </w:rPr>
        <w:t>Le voyant « sous tension » doit s'allumer.</w:t>
      </w:r>
    </w:p>
    <w:p>
      <w:pPr>
        <w:ind w:left="454" w:hanging="454"/>
      </w:pPr>
      <w:r>
        <w:rPr>
          <w:sz w:val="22"/>
        </w:rPr>
        <w:t xml:space="preserve">2. </w:t>
      </w:r>
      <w:r>
        <w:rPr>
          <w:b/>
          <w:sz w:val="22"/>
        </w:rPr>
        <w:t xml:space="preserve">Vérifier la pression d'air comprimé. </w:t>
      </w:r>
      <w:r>
        <w:rPr>
          <w:b w:val="0"/>
          <w:sz w:val="22"/>
        </w:rPr>
        <w:t>La pression réseau doit être à 5 bars. Si elle est incorrecte, la réajuster avant d'aller plus loin.</w:t>
      </w:r>
    </w:p>
    <w:p>
      <w:pPr>
        <w:ind w:left="454" w:hanging="454"/>
      </w:pPr>
      <w:r>
        <w:rPr>
          <w:sz w:val="22"/>
        </w:rPr>
        <w:t xml:space="preserve">3. </w:t>
      </w:r>
      <w:r>
        <w:rPr>
          <w:b/>
          <w:sz w:val="22"/>
        </w:rPr>
        <w:t xml:space="preserve">Vérifier les réglages par rapport au format </w:t>
      </w:r>
      <w:r>
        <w:rPr>
          <w:b w:val="0"/>
          <w:sz w:val="22"/>
        </w:rPr>
        <w:t>de carton à traiter. S'ils ne correspondent pas, reprendre les réglages (procédure de changement de format) et, si le format a changé, lancer une prise d'origine machine avec le bouton P.O.M.</w:t>
      </w:r>
    </w:p>
    <w:p>
      <w:pPr>
        <w:ind w:left="454" w:hanging="454"/>
      </w:pPr>
      <w:r>
        <w:rPr>
          <w:sz w:val="22"/>
        </w:rPr>
        <w:t xml:space="preserve">4. </w:t>
      </w:r>
      <w:r>
        <w:rPr>
          <w:b/>
          <w:sz w:val="22"/>
        </w:rPr>
        <w:t xml:space="preserve">Déverrouiller le ou les boutons d'arrêt d'urgence. </w:t>
      </w:r>
      <w:r>
        <w:rPr>
          <w:b w:val="0"/>
          <w:sz w:val="22"/>
        </w:rPr>
        <w:t>Tant qu'ils sont enclenchés, l'afficheur indique l'état « 3 » (arrêt d'urgence).</w:t>
      </w:r>
    </w:p>
    <w:p>
      <w:pPr>
        <w:ind w:left="454" w:hanging="454"/>
      </w:pPr>
      <w:r>
        <w:rPr>
          <w:sz w:val="22"/>
        </w:rPr>
        <w:t xml:space="preserve">5. </w:t>
      </w:r>
      <w:r>
        <w:rPr>
          <w:b/>
          <w:sz w:val="22"/>
        </w:rPr>
        <w:t xml:space="preserve">Fermer toutes les portes. </w:t>
      </w:r>
      <w:r>
        <w:rPr>
          <w:b w:val="0"/>
          <w:sz w:val="22"/>
        </w:rPr>
        <w:t>Une porte ouverte interdit le réarmement.</w:t>
      </w:r>
    </w:p>
    <w:p>
      <w:pPr>
        <w:ind w:left="454" w:hanging="454"/>
      </w:pPr>
      <w:r>
        <w:rPr>
          <w:sz w:val="22"/>
        </w:rPr>
        <w:t xml:space="preserve">6. </w:t>
      </w:r>
      <w:r>
        <w:rPr>
          <w:b/>
          <w:sz w:val="22"/>
        </w:rPr>
        <w:t xml:space="preserve">Appuyer sur le bouton « réarmement ». </w:t>
      </w:r>
      <w:r>
        <w:rPr>
          <w:b w:val="0"/>
          <w:sz w:val="22"/>
        </w:rPr>
        <w:t>Le circuit d'air se met en pression et l'électrique se réarme.</w:t>
      </w:r>
    </w:p>
    <w:p>
      <w:pPr>
        <w:ind w:left="454" w:hanging="454"/>
      </w:pPr>
      <w:r>
        <w:rPr>
          <w:sz w:val="22"/>
        </w:rPr>
        <w:t xml:space="preserve">7. </w:t>
      </w:r>
      <w:r>
        <w:rPr>
          <w:b/>
          <w:sz w:val="22"/>
        </w:rPr>
        <w:t xml:space="preserve">Vérifier la pression d'utilisation : 2 bars. </w:t>
      </w:r>
      <w:r>
        <w:rPr>
          <w:b w:val="0"/>
          <w:sz w:val="22"/>
        </w:rPr>
        <w:t>Si elle est incorrecte, la réajuster, puis reprendre le déverrouillage de l'arrêt d'urgence, la fermeture des portes et le réarmement.</w:t>
      </w:r>
    </w:p>
    <w:p>
      <w:pPr>
        <w:ind w:left="454" w:hanging="454"/>
      </w:pPr>
      <w:r>
        <w:rPr>
          <w:sz w:val="22"/>
        </w:rPr>
        <w:t xml:space="preserve">8. </w:t>
      </w:r>
      <w:r>
        <w:rPr>
          <w:b/>
          <w:sz w:val="22"/>
        </w:rPr>
        <w:t xml:space="preserve">Contrôler l'afficheur : il doit indiquer « 5 » (en service). </w:t>
      </w:r>
      <w:r>
        <w:rPr>
          <w:b w:val="0"/>
          <w:sz w:val="22"/>
        </w:rPr>
        <w:t>La machine est réarmée, prête à produire. Si un autre code est affiché, c'est un défaut : voir le tableau ci-dessous avant de continuer.</w:t>
      </w:r>
    </w:p>
    <w:p>
      <w:r>
        <w:rPr>
          <w:b/>
          <w:color w:val="0E1B36"/>
          <w:sz w:val="26"/>
        </w:rPr>
        <w:t>Le cycle de production attendu</w:t>
      </w:r>
    </w:p>
    <w:p>
      <w:r>
        <w:rPr>
          <w:b w:val="0"/>
          <w:sz w:val="22"/>
        </w:rPr>
        <w:t>Une fois la machine en service, voici le cycle nominal, décrit au niveau des états machine que donne la documentation. La doc ne détaille pas le mouvement mécanique interne (formage du carton, acheminement et empilage des produits), donc cette description s'arrête à ce que la machine affiche et à ce que l'opérateur fait.</w:t>
      </w:r>
    </w:p>
    <w:p>
      <w:pPr>
        <w:ind w:left="454" w:hanging="454"/>
      </w:pPr>
      <w:r>
        <w:rPr>
          <w:sz w:val="22"/>
        </w:rPr>
        <w:t xml:space="preserve">1. </w:t>
      </w:r>
      <w:r>
        <w:rPr>
          <w:b/>
          <w:sz w:val="22"/>
        </w:rPr>
        <w:t xml:space="preserve">État « 5 » (en service) : </w:t>
      </w:r>
      <w:r>
        <w:rPr>
          <w:b w:val="0"/>
          <w:sz w:val="22"/>
        </w:rPr>
        <w:t>la machine est réarmée, en attente de produits ou en production.</w:t>
      </w:r>
    </w:p>
    <w:p>
      <w:pPr>
        <w:ind w:left="454" w:hanging="454"/>
      </w:pPr>
      <w:r>
        <w:rPr>
          <w:sz w:val="22"/>
        </w:rPr>
        <w:t xml:space="preserve">2. </w:t>
      </w:r>
      <w:r>
        <w:rPr>
          <w:b w:val="0"/>
          <w:sz w:val="22"/>
        </w:rPr>
        <w:t xml:space="preserve">Les produits arrivent et sont mis en pile, </w:t>
      </w:r>
      <w:r>
        <w:rPr>
          <w:b w:val="0"/>
          <w:sz w:val="22"/>
        </w:rPr>
        <w:t>pendant qu'un carton est présenté au poste d'encaissage.</w:t>
      </w:r>
    </w:p>
    <w:p>
      <w:pPr>
        <w:ind w:left="454" w:hanging="454"/>
      </w:pPr>
      <w:r>
        <w:rPr>
          <w:sz w:val="22"/>
        </w:rPr>
        <w:t xml:space="preserve">3. </w:t>
      </w:r>
      <w:r>
        <w:rPr>
          <w:b/>
          <w:sz w:val="22"/>
        </w:rPr>
        <w:t xml:space="preserve">État « A » (validation encaissage) : </w:t>
      </w:r>
      <w:r>
        <w:rPr>
          <w:b w:val="0"/>
          <w:sz w:val="22"/>
        </w:rPr>
        <w:t>une pile est prête à être encaissée. L'opérateur appuie sur « validation encaissage » pour valider la poussée de la pile dans le carton. C'est l'intervention qui rend la machine semi-automatique : sans elle, l'encaissage ne se déclenche pas.</w:t>
      </w:r>
    </w:p>
    <w:p>
      <w:pPr>
        <w:ind w:left="454" w:hanging="454"/>
      </w:pPr>
      <w:r>
        <w:rPr>
          <w:sz w:val="22"/>
        </w:rPr>
        <w:t xml:space="preserve">4. </w:t>
      </w:r>
      <w:r>
        <w:rPr>
          <w:b w:val="0"/>
          <w:sz w:val="22"/>
        </w:rPr>
        <w:t xml:space="preserve">La machine encaisse la pile, </w:t>
      </w:r>
      <w:r>
        <w:rPr>
          <w:b w:val="0"/>
          <w:sz w:val="22"/>
        </w:rPr>
        <w:t>puis revient en attente de la suivante. En cas d'anomalie pendant cette phase, l'afficheur indique « 7 » (défaut encaissage).</w:t>
      </w:r>
    </w:p>
    <w:p>
      <w:r>
        <w:rPr>
          <w:b w:val="0"/>
          <w:sz w:val="22"/>
        </w:rPr>
        <w:t>Pour arrêter proprement, le bouton « arrêt » stoppe la machine en fin de cycle, dans une position prédéterminée (état « 4 »). On repart ensuite avec « marche ».</w:t>
      </w:r>
    </w:p>
    <w:p>
      <w:r>
        <w:rPr>
          <w:b/>
          <w:color w:val="0E1B36"/>
          <w:sz w:val="26"/>
        </w:rPr>
        <w:t>Si l'afficheur montre un défaut au démarrage</w:t>
      </w:r>
    </w:p>
    <w:p>
      <w:r>
        <w:rPr>
          <w:b w:val="0"/>
          <w:sz w:val="22"/>
        </w:rPr>
        <w:t>Les codes que l'on rencontre le plus souvent en début de poste, et le geste correspondant.</w:t>
      </w:r>
    </w:p>
    <w:tbl>
      <w:tblPr>
        <w:tblStyle w:val="LightGrid-Accent1"/>
        <w:tblW w:type="auto" w:w="0"/>
        <w:tblLook w:firstColumn="1" w:firstRow="1" w:lastColumn="0" w:lastRow="0" w:noHBand="0" w:noVBand="1" w:val="04A0"/>
      </w:tblPr>
      <w:tblGrid>
        <w:gridCol w:w="3324"/>
        <w:gridCol w:w="3324"/>
        <w:gridCol w:w="3324"/>
      </w:tblGrid>
      <w:tr>
        <w:tc>
          <w:tcPr>
            <w:tcW w:type="dxa" w:w="3324"/>
          </w:tcPr>
          <w:p>
            <w:r>
              <w:rPr>
                <w:b/>
                <w:sz w:val="20"/>
              </w:rPr>
              <w:t>Code</w:t>
            </w:r>
          </w:p>
        </w:tc>
        <w:tc>
          <w:tcPr>
            <w:tcW w:type="dxa" w:w="3324"/>
          </w:tcPr>
          <w:p>
            <w:r>
              <w:rPr>
                <w:b/>
                <w:sz w:val="20"/>
              </w:rPr>
              <w:t>État affiché</w:t>
            </w:r>
          </w:p>
        </w:tc>
        <w:tc>
          <w:tcPr>
            <w:tcW w:type="dxa" w:w="3324"/>
          </w:tcPr>
          <w:p>
            <w:r>
              <w:rPr>
                <w:b/>
                <w:sz w:val="20"/>
              </w:rPr>
              <w:t>Que faire</w:t>
            </w:r>
          </w:p>
        </w:tc>
      </w:tr>
      <w:tr>
        <w:tc>
          <w:tcPr>
            <w:tcW w:type="dxa" w:w="3324"/>
          </w:tcPr>
          <w:p>
            <w:r/>
            <w:r>
              <w:rPr>
                <w:sz w:val="20"/>
              </w:rPr>
              <w:t>1</w:t>
            </w:r>
          </w:p>
        </w:tc>
        <w:tc>
          <w:tcPr>
            <w:tcW w:type="dxa" w:w="3324"/>
          </w:tcPr>
          <w:p>
            <w:r/>
            <w:r>
              <w:rPr>
                <w:sz w:val="20"/>
              </w:rPr>
              <w:t>Manque pression réseau</w:t>
            </w:r>
          </w:p>
        </w:tc>
        <w:tc>
          <w:tcPr>
            <w:tcW w:type="dxa" w:w="3324"/>
          </w:tcPr>
          <w:p>
            <w:r/>
            <w:r>
              <w:rPr>
                <w:sz w:val="20"/>
              </w:rPr>
              <w:t>Contrôler l'alimentation en air comprimé.</w:t>
            </w:r>
          </w:p>
        </w:tc>
      </w:tr>
      <w:tr>
        <w:tc>
          <w:tcPr>
            <w:tcW w:type="dxa" w:w="3324"/>
          </w:tcPr>
          <w:p>
            <w:r/>
            <w:r>
              <w:rPr>
                <w:sz w:val="20"/>
              </w:rPr>
              <w:t>2</w:t>
            </w:r>
          </w:p>
        </w:tc>
        <w:tc>
          <w:tcPr>
            <w:tcW w:type="dxa" w:w="3324"/>
          </w:tcPr>
          <w:p>
            <w:r/>
            <w:r>
              <w:rPr>
                <w:sz w:val="20"/>
              </w:rPr>
              <w:t>Porte ouverte</w:t>
            </w:r>
          </w:p>
        </w:tc>
        <w:tc>
          <w:tcPr>
            <w:tcW w:type="dxa" w:w="3324"/>
          </w:tcPr>
          <w:p>
            <w:r/>
            <w:r>
              <w:rPr>
                <w:sz w:val="20"/>
              </w:rPr>
              <w:t>Refermer la ou les portes concernées.</w:t>
            </w:r>
          </w:p>
        </w:tc>
      </w:tr>
      <w:tr>
        <w:tc>
          <w:tcPr>
            <w:tcW w:type="dxa" w:w="3324"/>
          </w:tcPr>
          <w:p>
            <w:r/>
            <w:r>
              <w:rPr>
                <w:sz w:val="20"/>
              </w:rPr>
              <w:t>3</w:t>
            </w:r>
          </w:p>
        </w:tc>
        <w:tc>
          <w:tcPr>
            <w:tcW w:type="dxa" w:w="3324"/>
          </w:tcPr>
          <w:p>
            <w:r/>
            <w:r>
              <w:rPr>
                <w:sz w:val="20"/>
              </w:rPr>
              <w:t>Arrêt d'urgence</w:t>
            </w:r>
          </w:p>
        </w:tc>
        <w:tc>
          <w:tcPr>
            <w:tcW w:type="dxa" w:w="3324"/>
          </w:tcPr>
          <w:p>
            <w:r/>
            <w:r>
              <w:rPr>
                <w:sz w:val="20"/>
              </w:rPr>
              <w:t>Déverrouiller les coups de poing, puis appuyer sur « réarmement ».</w:t>
            </w:r>
          </w:p>
        </w:tc>
      </w:tr>
      <w:tr>
        <w:tc>
          <w:tcPr>
            <w:tcW w:type="dxa" w:w="3324"/>
          </w:tcPr>
          <w:p>
            <w:r/>
            <w:r>
              <w:rPr>
                <w:sz w:val="20"/>
              </w:rPr>
              <w:t>4</w:t>
            </w:r>
          </w:p>
        </w:tc>
        <w:tc>
          <w:tcPr>
            <w:tcW w:type="dxa" w:w="3324"/>
          </w:tcPr>
          <w:p>
            <w:r/>
            <w:r>
              <w:rPr>
                <w:sz w:val="20"/>
              </w:rPr>
              <w:t>Arrêt cycle</w:t>
            </w:r>
          </w:p>
        </w:tc>
        <w:tc>
          <w:tcPr>
            <w:tcW w:type="dxa" w:w="3324"/>
          </w:tcPr>
          <w:p>
            <w:r/>
            <w:r>
              <w:rPr>
                <w:sz w:val="20"/>
              </w:rPr>
              <w:t>Machine en fin de cycle : appuyer sur « marche ».</w:t>
            </w:r>
          </w:p>
        </w:tc>
      </w:tr>
      <w:tr>
        <w:tc>
          <w:tcPr>
            <w:tcW w:type="dxa" w:w="3324"/>
          </w:tcPr>
          <w:p>
            <w:r/>
            <w:r>
              <w:rPr>
                <w:sz w:val="20"/>
              </w:rPr>
              <w:t>6</w:t>
            </w:r>
          </w:p>
        </w:tc>
        <w:tc>
          <w:tcPr>
            <w:tcW w:type="dxa" w:w="3324"/>
          </w:tcPr>
          <w:p>
            <w:r/>
            <w:r>
              <w:rPr>
                <w:sz w:val="20"/>
              </w:rPr>
              <w:t>Absence carton encaissage</w:t>
            </w:r>
          </w:p>
        </w:tc>
        <w:tc>
          <w:tcPr>
            <w:tcW w:type="dxa" w:w="3324"/>
          </w:tcPr>
          <w:p>
            <w:r/>
            <w:r>
              <w:rPr>
                <w:sz w:val="20"/>
              </w:rPr>
              <w:t>Placer un carton manuellement au poste d'encaissage et vérifier son positionnement.</w:t>
            </w:r>
          </w:p>
        </w:tc>
      </w:tr>
      <w:tr>
        <w:tc>
          <w:tcPr>
            <w:tcW w:type="dxa" w:w="3324"/>
          </w:tcPr>
          <w:p>
            <w:r/>
            <w:r>
              <w:rPr>
                <w:sz w:val="20"/>
              </w:rPr>
              <w:t>E</w:t>
            </w:r>
          </w:p>
        </w:tc>
        <w:tc>
          <w:tcPr>
            <w:tcW w:type="dxa" w:w="3324"/>
          </w:tcPr>
          <w:p>
            <w:r/>
            <w:r>
              <w:rPr>
                <w:sz w:val="20"/>
              </w:rPr>
              <w:t>Sélection format</w:t>
            </w:r>
          </w:p>
        </w:tc>
        <w:tc>
          <w:tcPr>
            <w:tcW w:type="dxa" w:w="3324"/>
          </w:tcPr>
          <w:p>
            <w:r/>
            <w:r>
              <w:rPr>
                <w:sz w:val="20"/>
              </w:rPr>
              <w:t>Le numéro de format est incorrect : sélectionner le bon format.</w:t>
            </w:r>
          </w:p>
        </w:tc>
      </w:tr>
      <w:tr>
        <w:tc>
          <w:tcPr>
            <w:tcW w:type="dxa" w:w="3324"/>
          </w:tcPr>
          <w:p>
            <w:r/>
            <w:r>
              <w:rPr>
                <w:sz w:val="20"/>
              </w:rPr>
              <w:t>0</w:t>
            </w:r>
          </w:p>
        </w:tc>
        <w:tc>
          <w:tcPr>
            <w:tcW w:type="dxa" w:w="3324"/>
          </w:tcPr>
          <w:p>
            <w:r/>
            <w:r>
              <w:rPr>
                <w:sz w:val="20"/>
              </w:rPr>
              <w:t>Défaut automate</w:t>
            </w:r>
          </w:p>
        </w:tc>
        <w:tc>
          <w:tcPr>
            <w:tcW w:type="dxa" w:w="3324"/>
          </w:tcPr>
          <w:p>
            <w:r/>
            <w:r>
              <w:rPr>
                <w:sz w:val="20"/>
              </w:rPr>
              <w:t>Appeler le service technique.</w:t>
            </w:r>
          </w:p>
        </w:tc>
      </w:tr>
      <w:tr>
        <w:tc>
          <w:tcPr>
            <w:tcW w:type="dxa" w:w="3324"/>
          </w:tcPr>
          <w:p>
            <w:r/>
            <w:r>
              <w:rPr>
                <w:sz w:val="20"/>
              </w:rPr>
              <w:t>8</w:t>
            </w:r>
          </w:p>
        </w:tc>
        <w:tc>
          <w:tcPr>
            <w:tcW w:type="dxa" w:w="3324"/>
          </w:tcPr>
          <w:p>
            <w:r/>
            <w:r>
              <w:rPr>
                <w:sz w:val="20"/>
              </w:rPr>
              <w:t>Défaut disjonction moteur</w:t>
            </w:r>
          </w:p>
        </w:tc>
        <w:tc>
          <w:tcPr>
            <w:tcW w:type="dxa" w:w="3324"/>
          </w:tcPr>
          <w:p>
            <w:r/>
            <w:r>
              <w:rPr>
                <w:sz w:val="20"/>
              </w:rPr>
              <w:t>Réenclencher le disjoncteur.</w:t>
            </w:r>
          </w:p>
        </w:tc>
      </w:tr>
    </w:tbl>
    <w:p>
      <w:r>
        <w:rPr>
          <w:b w:val="0"/>
          <w:sz w:val="22"/>
        </w:rPr>
        <w:t>Après correction d'un défaut bloquant, appuyer sur « acquittement défaut » pour l'annuler.</w:t>
      </w:r>
    </w:p>
    <w:p>
      <w:r>
        <w:rPr>
          <w:b/>
          <w:color w:val="0E1B36"/>
          <w:sz w:val="26"/>
        </w:rPr>
        <w:t>Sources et limites</w:t>
      </w:r>
    </w:p>
    <w:p>
      <w:pPr>
        <w:pStyle w:val="ListBullet"/>
      </w:pPr>
      <w:r>
        <w:rPr>
          <w:b/>
          <w:sz w:val="22"/>
        </w:rPr>
        <w:t xml:space="preserve">Source : </w:t>
      </w:r>
      <w:r>
        <w:rPr>
          <w:b w:val="0"/>
          <w:sz w:val="22"/>
        </w:rPr>
        <w:t>Manuel opérateur E724, chapitre « Mise en service », documentation CERMEX datée du 19/09/2007. La séquence de démarrage, les commandes du pupitre et les codes de défaut en sont transcrits fidèlement.</w:t>
      </w:r>
    </w:p>
    <w:p>
      <w:pPr>
        <w:pStyle w:val="ListBullet"/>
      </w:pPr>
      <w:r>
        <w:rPr>
          <w:b/>
          <w:sz w:val="22"/>
        </w:rPr>
        <w:t xml:space="preserve">Le cycle de production </w:t>
      </w:r>
      <w:r>
        <w:rPr>
          <w:b w:val="0"/>
          <w:sz w:val="22"/>
        </w:rPr>
        <w:t>est décrit au niveau des états machine documentés. La documentation ne décrit pas le déroulé mécanique interne, qui n'est donc pas détaillé ici plutôt que supposé.</w:t>
      </w:r>
    </w:p>
    <w:p>
      <w:pPr>
        <w:pStyle w:val="ListBullet"/>
      </w:pPr>
      <w:r>
        <w:rPr>
          <w:b w:val="0"/>
          <w:sz w:val="22"/>
        </w:rPr>
        <w:t xml:space="preserve">Cette fiche décrit un type E724. </w:t>
      </w:r>
      <w:r>
        <w:rPr>
          <w:b w:val="0"/>
          <w:sz w:val="22"/>
        </w:rPr>
        <w:t>Les réglages, formats et repères précis sont propres à chaque installation : à confronter au dossier de votre propre machine avant application.</w:t>
      </w:r>
    </w:p>
    <w:p>
      <w:r>
        <w:rPr>
          <w:i/>
          <w:color w:val="555F70"/>
          <w:sz w:val="18"/>
        </w:rPr>
        <w:t>Fiche établie par Simon Girard - Mecanio (mecanio.fr). Modèle à adapter au format et aux réglages de votre propre machine avant impression.</w:t>
      </w:r>
    </w:p>
    <w:sectPr w:rsidR="00FC693F" w:rsidRPr="0006063C" w:rsidSect="00034616">
      <w:pgSz w:w="12240" w:h="15840"/>
      <w:pgMar w:top="1020" w:right="1134" w:bottom="102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